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Title"/>
      <w:bookmarkEnd w:id="0"/>
      <w:bookmarkStart w:id="1" w:name="DocumentFor"/>
      <w:bookmarkEnd w:id="1"/>
      <w:r>
        <w:rPr>
          <w:rFonts w:ascii="Arial" w:hAnsi="Arial" w:cs="Arial"/>
          <w:b/>
          <w:sz w:val="24"/>
        </w:rPr>
        <w:t>3GPP TSG-RAN WG4 Meeting #101-e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2118433</w:t>
      </w:r>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lang w:eastAsia="zh-CN"/>
        </w:rPr>
        <w:t>Electronic Meeting, November 01-12,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hint="default" w:ascii="Arial" w:hAnsi="Arial" w:eastAsia="MS Mincho"/>
          <w:b/>
          <w:sz w:val="24"/>
          <w:lang w:val="en-US" w:eastAsia="zh-CN"/>
        </w:rPr>
      </w:pPr>
      <w:r>
        <w:rPr>
          <w:rFonts w:ascii="Arial" w:hAnsi="Arial" w:eastAsia="MS Mincho"/>
          <w:b/>
          <w:sz w:val="24"/>
        </w:rPr>
        <w:t>Title:</w:t>
      </w:r>
      <w:r>
        <w:rPr>
          <w:rFonts w:hint="eastAsia" w:ascii="Arial" w:hAnsi="Arial" w:eastAsia="宋体"/>
          <w:b/>
          <w:sz w:val="24"/>
          <w:lang w:val="en-US" w:eastAsia="zh-CN"/>
        </w:rPr>
        <w:t xml:space="preserve">          Discussion on </w:t>
      </w:r>
      <w:r>
        <w:rPr>
          <w:rFonts w:hint="eastAsia" w:ascii="Arial" w:hAnsi="Arial" w:eastAsia="MS Mincho"/>
          <w:b/>
          <w:sz w:val="24"/>
          <w:lang w:eastAsia="zh-CN"/>
        </w:rPr>
        <w:t>Spherical coverage requirements</w:t>
      </w:r>
      <w:r>
        <w:rPr>
          <w:rFonts w:hint="eastAsia" w:ascii="Arial" w:hAnsi="Arial" w:eastAsia="MS Mincho"/>
          <w:b/>
          <w:sz w:val="24"/>
          <w:lang w:val="en-US" w:eastAsia="zh-CN"/>
        </w:rPr>
        <w:t xml:space="preserve"> for HST_FR2</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8.9.3.1.2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issues about spherical coverage for HST_FR2 are discussed.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RAN4# 100-e</w:t>
      </w:r>
      <w:r>
        <w:rPr>
          <w:rFonts w:ascii="Times New Roman" w:hAnsi="Times New Roman"/>
          <w:bCs/>
          <w:kern w:val="0"/>
          <w:sz w:val="20"/>
          <w:szCs w:val="20"/>
        </w:rPr>
        <w:t xml:space="preserve"> meeting, the following </w:t>
      </w:r>
      <w:r>
        <w:rPr>
          <w:rFonts w:hint="eastAsia" w:ascii="Times New Roman" w:hAnsi="Times New Roman"/>
          <w:bCs/>
          <w:kern w:val="0"/>
          <w:sz w:val="20"/>
          <w:szCs w:val="20"/>
          <w:lang w:val="en-US" w:eastAsia="zh-CN"/>
        </w:rPr>
        <w:t xml:space="preserve">agreement </w:t>
      </w:r>
      <w:r>
        <w:rPr>
          <w:rFonts w:hint="eastAsia" w:ascii="Times New Roman" w:hAnsi="Times New Roman"/>
          <w:bCs/>
          <w:kern w:val="0"/>
          <w:sz w:val="20"/>
          <w:szCs w:val="20"/>
        </w:rPr>
        <w:t xml:space="preserve">about </w:t>
      </w:r>
      <w:r>
        <w:rPr>
          <w:rFonts w:hint="eastAsia" w:ascii="Times New Roman" w:hAnsi="Times New Roman"/>
          <w:bCs/>
          <w:kern w:val="0"/>
          <w:sz w:val="20"/>
          <w:szCs w:val="20"/>
          <w:lang w:val="en-US" w:eastAsia="zh-CN"/>
        </w:rPr>
        <w:t>spherical coverage requirement</w:t>
      </w:r>
      <w:r>
        <w:rPr>
          <w:rFonts w:hint="eastAsia" w:ascii="Times New Roman" w:hAnsi="Times New Roman"/>
          <w:bCs/>
          <w:kern w:val="0"/>
          <w:sz w:val="20"/>
          <w:szCs w:val="20"/>
        </w:rPr>
        <w:t xml:space="preserve"> w</w:t>
      </w:r>
      <w:r>
        <w:rPr>
          <w:rFonts w:hint="eastAsia" w:ascii="Times New Roman" w:hAnsi="Times New Roman"/>
          <w:bCs/>
          <w:kern w:val="0"/>
          <w:sz w:val="20"/>
          <w:szCs w:val="20"/>
          <w:lang w:val="en-US" w:eastAsia="zh-CN"/>
        </w:rPr>
        <w:t>as</w:t>
      </w:r>
      <w:r>
        <w:rPr>
          <w:rFonts w:ascii="Times New Roman" w:hAnsi="Times New Roman"/>
          <w:bCs/>
          <w:kern w:val="0"/>
          <w:sz w:val="20"/>
          <w:szCs w:val="20"/>
        </w:rPr>
        <w:t xml:space="preserve"> reached</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highlight w:val="green"/>
              </w:rPr>
            </w:pPr>
            <w:r>
              <w:rPr>
                <w:rFonts w:hint="default" w:ascii="Times New Roman" w:hAnsi="Times New Roman" w:eastAsia="等线" w:cs="Times New Roman"/>
                <w:sz w:val="20"/>
                <w:szCs w:val="20"/>
                <w:highlight w:val="green"/>
              </w:rPr>
              <w:t xml:space="preserve">Agreement: For spherical coverage requirement framework, specify the </w:t>
            </w:r>
            <w:r>
              <w:rPr>
                <w:rFonts w:hint="default" w:ascii="Times New Roman" w:hAnsi="Times New Roman" w:cs="Times New Roman"/>
                <w:sz w:val="20"/>
                <w:szCs w:val="20"/>
                <w:highlight w:val="green"/>
              </w:rPr>
              <w:t>spherical coverage for FR2 HST in terms of theta and phi range w.r.t. boresight direction.</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highlight w:val="green"/>
              </w:rPr>
            </w:pPr>
            <w:r>
              <w:rPr>
                <w:rFonts w:hint="default" w:ascii="Times New Roman" w:hAnsi="Times New Roman" w:eastAsia="等线" w:cs="Times New Roman"/>
                <w:sz w:val="20"/>
                <w:szCs w:val="20"/>
                <w:highlight w:val="green"/>
              </w:rPr>
              <w:t>Further discussion on theta and phi value</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highlight w:val="green"/>
              </w:rPr>
            </w:pPr>
            <w:r>
              <w:rPr>
                <w:rFonts w:hint="default" w:ascii="Times New Roman" w:hAnsi="Times New Roman" w:eastAsia="等线" w:cs="Times New Roman"/>
                <w:sz w:val="20"/>
                <w:szCs w:val="20"/>
                <w:highlight w:val="green"/>
              </w:rPr>
              <w:t>UE should meet EIPR requirement for 100% percentage of test points within the theta and phi range with some tolerances</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eastAsia"/>
                <w:szCs w:val="20"/>
                <w:highlight w:val="green"/>
                <w:lang w:val="en-GB" w:eastAsia="zh-CN"/>
              </w:rPr>
            </w:pPr>
            <w:r>
              <w:rPr>
                <w:rFonts w:hint="default" w:ascii="Times New Roman" w:hAnsi="Times New Roman" w:eastAsia="等线" w:cs="Times New Roman"/>
                <w:sz w:val="20"/>
                <w:szCs w:val="20"/>
                <w:highlight w:val="green"/>
              </w:rPr>
              <w:t>If the problem is identified, go back to option 1.</w:t>
            </w:r>
            <w:r>
              <w:rPr>
                <w:rFonts w:hint="eastAsia" w:ascii="Times New Roman" w:hAnsi="Times New Roman" w:cs="Times New Roman"/>
                <w:sz w:val="20"/>
                <w:szCs w:val="20"/>
                <w:lang w:val="en-GB" w:eastAsia="ko-KR"/>
              </w:rPr>
              <w:t xml:space="preserve"> </w:t>
            </w:r>
          </w:p>
        </w:tc>
      </w:tr>
    </w:tbl>
    <w:p>
      <w:pPr>
        <w:pStyle w:val="29"/>
        <w:ind w:firstLine="0" w:firstLineChars="0"/>
        <w:rPr>
          <w:rFonts w:hint="default" w:ascii="Times New Roman" w:hAnsi="Times New Roman" w:cs="Times New Roman"/>
          <w:b w:val="0"/>
          <w:i w:val="0"/>
          <w:color w:val="000000"/>
          <w:spacing w:val="0"/>
          <w:kern w:val="0"/>
          <w:sz w:val="20"/>
          <w:szCs w:val="20"/>
          <w:shd w:val="clear" w:fill="FFFFFF"/>
          <w:vertAlign w:val="baseline"/>
          <w:lang w:val="en-US" w:eastAsia="zh-CN" w:bidi="ar"/>
        </w:rPr>
      </w:pPr>
      <w:r>
        <w:rPr>
          <w:rFonts w:hint="eastAsia" w:ascii="Times New Roman" w:hAnsi="Times New Roman" w:cs="Times New Roman"/>
          <w:b w:val="0"/>
          <w:i w:val="0"/>
          <w:color w:val="000000"/>
          <w:spacing w:val="0"/>
          <w:kern w:val="0"/>
          <w:sz w:val="20"/>
          <w:szCs w:val="20"/>
          <w:shd w:val="clear" w:fill="FFFFFF"/>
          <w:vertAlign w:val="baseline"/>
          <w:lang w:val="en-US" w:eastAsia="zh-CN" w:bidi="ar"/>
        </w:rPr>
        <w:t>Option 1 mentioned in the above agreement is:</w:t>
      </w:r>
    </w:p>
    <w:p>
      <w:pPr>
        <w:pStyle w:val="29"/>
        <w:ind w:firstLine="0" w:firstLineChars="0"/>
        <w:rPr>
          <w:rFonts w:hint="default" w:ascii="Times New Roman" w:hAnsi="Times New Roman" w:cs="Times New Roman"/>
          <w:b w:val="0"/>
          <w:i/>
          <w:iCs/>
          <w:color w:val="000000"/>
          <w:spacing w:val="0"/>
          <w:kern w:val="0"/>
          <w:sz w:val="20"/>
          <w:szCs w:val="20"/>
          <w:shd w:val="clear" w:fill="FFFFFF"/>
          <w:vertAlign w:val="baseline"/>
          <w:lang w:val="en-US" w:eastAsia="zh-CN" w:bidi="ar"/>
        </w:rPr>
      </w:pPr>
      <w:r>
        <w:rPr>
          <w:rFonts w:hint="eastAsia" w:ascii="Times New Roman" w:hAnsi="Times New Roman" w:cs="Times New Roman"/>
          <w:b w:val="0"/>
          <w:i/>
          <w:iCs/>
          <w:color w:val="000000"/>
          <w:spacing w:val="0"/>
          <w:kern w:val="0"/>
          <w:sz w:val="20"/>
          <w:szCs w:val="20"/>
          <w:shd w:val="clear" w:fill="FFFFFF"/>
          <w:vertAlign w:val="baseline"/>
          <w:lang w:val="en-US" w:eastAsia="zh-CN" w:bidi="ar"/>
        </w:rPr>
        <w:t>Option-1: Still follow Rel-15 NR spherical coverage requirement framework</w:t>
      </w:r>
    </w:p>
    <w:p>
      <w:pPr>
        <w:pStyle w:val="29"/>
        <w:ind w:firstLine="0" w:firstLineChars="0"/>
        <w:rPr>
          <w:rFonts w:hint="eastAsia" w:ascii="Times New Roman" w:hAnsi="Times New Roman" w:cs="Times New Roman"/>
          <w:b w:val="0"/>
          <w:i w:val="0"/>
          <w:color w:val="000000"/>
          <w:spacing w:val="0"/>
          <w:kern w:val="0"/>
          <w:sz w:val="20"/>
          <w:szCs w:val="20"/>
          <w:shd w:val="clear" w:fill="FFFFFF"/>
          <w:vertAlign w:val="baseline"/>
          <w:lang w:val="en-US" w:eastAsia="zh-CN" w:bidi="ar"/>
        </w:rPr>
      </w:pPr>
      <w:r>
        <w:rPr>
          <w:rFonts w:hint="eastAsia" w:ascii="Times New Roman" w:hAnsi="Times New Roman" w:cs="Times New Roman"/>
          <w:b w:val="0"/>
          <w:i w:val="0"/>
          <w:color w:val="000000"/>
          <w:spacing w:val="0"/>
          <w:kern w:val="0"/>
          <w:sz w:val="20"/>
          <w:szCs w:val="20"/>
          <w:shd w:val="clear" w:fill="FFFFFF"/>
          <w:vertAlign w:val="baseline"/>
          <w:lang w:val="en-US" w:eastAsia="zh-CN" w:bidi="ar"/>
        </w:rPr>
        <w:t>S</w:t>
      </w:r>
      <w:r>
        <w:rPr>
          <w:rFonts w:hint="default" w:ascii="Times New Roman" w:hAnsi="Times New Roman" w:cs="Times New Roman"/>
          <w:b w:val="0"/>
          <w:i w:val="0"/>
          <w:color w:val="000000"/>
          <w:spacing w:val="0"/>
          <w:kern w:val="0"/>
          <w:sz w:val="20"/>
          <w:szCs w:val="20"/>
          <w:shd w:val="clear" w:fill="FFFFFF"/>
          <w:vertAlign w:val="baseline"/>
          <w:lang w:val="en-US" w:eastAsia="zh-CN" w:bidi="ar"/>
        </w:rPr>
        <w:t xml:space="preserve">pherical coverage </w:t>
      </w:r>
      <w:r>
        <w:rPr>
          <w:rFonts w:hint="eastAsia" w:ascii="Times New Roman" w:hAnsi="Times New Roman" w:cs="Times New Roman"/>
          <w:b w:val="0"/>
          <w:i w:val="0"/>
          <w:color w:val="000000"/>
          <w:spacing w:val="0"/>
          <w:kern w:val="0"/>
          <w:sz w:val="20"/>
          <w:szCs w:val="20"/>
          <w:shd w:val="clear" w:fill="FFFFFF"/>
          <w:vertAlign w:val="baseline"/>
          <w:lang w:val="en-US" w:eastAsia="zh-CN" w:bidi="ar"/>
        </w:rPr>
        <w:t>requirement wa</w:t>
      </w:r>
      <w:r>
        <w:rPr>
          <w:rFonts w:hint="default" w:ascii="Times New Roman" w:hAnsi="Times New Roman" w:cs="Times New Roman"/>
          <w:b w:val="0"/>
          <w:i w:val="0"/>
          <w:color w:val="000000"/>
          <w:spacing w:val="0"/>
          <w:kern w:val="0"/>
          <w:sz w:val="20"/>
          <w:szCs w:val="20"/>
          <w:shd w:val="clear" w:fill="FFFFFF"/>
          <w:vertAlign w:val="baseline"/>
          <w:lang w:val="en-US" w:eastAsia="zh-CN" w:bidi="ar"/>
        </w:rPr>
        <w:t xml:space="preserve">s preliminarily </w:t>
      </w:r>
      <w:r>
        <w:rPr>
          <w:rFonts w:hint="eastAsia" w:ascii="Times New Roman" w:hAnsi="Times New Roman" w:cs="Times New Roman"/>
          <w:b w:val="0"/>
          <w:i w:val="0"/>
          <w:color w:val="000000"/>
          <w:spacing w:val="0"/>
          <w:kern w:val="0"/>
          <w:sz w:val="20"/>
          <w:szCs w:val="20"/>
          <w:shd w:val="clear" w:fill="FFFFFF"/>
          <w:vertAlign w:val="baseline"/>
          <w:lang w:val="en-US" w:eastAsia="zh-CN" w:bidi="ar"/>
        </w:rPr>
        <w:t>agreed</w:t>
      </w:r>
      <w:r>
        <w:rPr>
          <w:rFonts w:hint="default" w:ascii="Times New Roman" w:hAnsi="Times New Roman" w:cs="Times New Roman"/>
          <w:b w:val="0"/>
          <w:i w:val="0"/>
          <w:color w:val="000000"/>
          <w:spacing w:val="0"/>
          <w:kern w:val="0"/>
          <w:sz w:val="20"/>
          <w:szCs w:val="20"/>
          <w:shd w:val="clear" w:fill="FFFFFF"/>
          <w:vertAlign w:val="baseline"/>
          <w:lang w:val="en-US" w:eastAsia="zh-CN" w:bidi="ar"/>
        </w:rPr>
        <w:t xml:space="preserve"> in the </w:t>
      </w:r>
      <w:r>
        <w:rPr>
          <w:rFonts w:hint="eastAsia" w:ascii="Times New Roman" w:hAnsi="Times New Roman" w:cs="Times New Roman"/>
          <w:b w:val="0"/>
          <w:i w:val="0"/>
          <w:color w:val="000000"/>
          <w:spacing w:val="0"/>
          <w:kern w:val="0"/>
          <w:sz w:val="20"/>
          <w:szCs w:val="20"/>
          <w:shd w:val="clear" w:fill="FFFFFF"/>
          <w:vertAlign w:val="baseline"/>
          <w:lang w:val="en-US" w:eastAsia="zh-CN" w:bidi="ar"/>
        </w:rPr>
        <w:t>terms</w:t>
      </w:r>
      <w:r>
        <w:rPr>
          <w:rFonts w:hint="default" w:ascii="Times New Roman" w:hAnsi="Times New Roman" w:cs="Times New Roman"/>
          <w:b w:val="0"/>
          <w:i w:val="0"/>
          <w:color w:val="000000"/>
          <w:spacing w:val="0"/>
          <w:kern w:val="0"/>
          <w:sz w:val="20"/>
          <w:szCs w:val="20"/>
          <w:shd w:val="clear" w:fill="FFFFFF"/>
          <w:vertAlign w:val="baseline"/>
          <w:lang w:val="en-US" w:eastAsia="zh-CN" w:bidi="ar"/>
        </w:rPr>
        <w:t xml:space="preserve"> of </w:t>
      </w:r>
      <w:r>
        <w:rPr>
          <w:rFonts w:hint="eastAsia" w:ascii="Times New Roman" w:hAnsi="Times New Roman" w:cs="Times New Roman"/>
          <w:b w:val="0"/>
          <w:i w:val="0"/>
          <w:color w:val="000000"/>
          <w:spacing w:val="0"/>
          <w:kern w:val="0"/>
          <w:sz w:val="20"/>
          <w:szCs w:val="20"/>
          <w:shd w:val="clear" w:fill="FFFFFF"/>
          <w:vertAlign w:val="baseline"/>
          <w:lang w:val="en-US" w:eastAsia="zh-CN" w:bidi="ar"/>
        </w:rPr>
        <w:t>theta</w:t>
      </w:r>
      <w:r>
        <w:rPr>
          <w:rFonts w:hint="default" w:ascii="Times New Roman" w:hAnsi="Times New Roman" w:cs="Times New Roman"/>
          <w:b w:val="0"/>
          <w:i w:val="0"/>
          <w:color w:val="000000"/>
          <w:spacing w:val="0"/>
          <w:kern w:val="0"/>
          <w:sz w:val="20"/>
          <w:szCs w:val="20"/>
          <w:shd w:val="clear" w:fill="FFFFFF"/>
          <w:vertAlign w:val="baseline"/>
          <w:lang w:val="en-US" w:eastAsia="zh-CN" w:bidi="ar"/>
        </w:rPr>
        <w:t xml:space="preserve"> and </w:t>
      </w:r>
      <w:r>
        <w:rPr>
          <w:rFonts w:hint="eastAsia" w:ascii="Times New Roman" w:hAnsi="Times New Roman" w:cs="Times New Roman"/>
          <w:b w:val="0"/>
          <w:i w:val="0"/>
          <w:color w:val="000000"/>
          <w:spacing w:val="0"/>
          <w:kern w:val="0"/>
          <w:sz w:val="20"/>
          <w:szCs w:val="20"/>
          <w:shd w:val="clear" w:fill="FFFFFF"/>
          <w:vertAlign w:val="baseline"/>
          <w:lang w:val="en-US" w:eastAsia="zh-CN" w:bidi="ar"/>
        </w:rPr>
        <w:t>phi range w.r.t. boresight direction.</w:t>
      </w:r>
    </w:p>
    <w:p>
      <w:pPr>
        <w:pStyle w:val="29"/>
        <w:ind w:firstLine="0" w:firstLineChars="0"/>
        <w:rPr>
          <w:rFonts w:hint="eastAsia" w:ascii="Times New Roman" w:hAnsi="Times New Roman" w:cs="Times New Roman"/>
          <w:b w:val="0"/>
          <w:i w:val="0"/>
          <w:color w:val="000000"/>
          <w:spacing w:val="0"/>
          <w:kern w:val="0"/>
          <w:sz w:val="20"/>
          <w:szCs w:val="20"/>
          <w:shd w:val="clear" w:fill="FFFFFF"/>
          <w:vertAlign w:val="baseline"/>
          <w:lang w:val="en-US" w:eastAsia="zh-CN" w:bidi="ar"/>
        </w:rPr>
      </w:pPr>
      <w:r>
        <w:rPr>
          <w:rFonts w:hint="eastAsia" w:ascii="Times New Roman" w:hAnsi="Times New Roman" w:cs="Times New Roman"/>
          <w:b w:val="0"/>
          <w:i w:val="0"/>
          <w:color w:val="000000"/>
          <w:spacing w:val="0"/>
          <w:kern w:val="0"/>
          <w:sz w:val="20"/>
          <w:szCs w:val="20"/>
          <w:shd w:val="clear" w:fill="FFFFFF"/>
          <w:vertAlign w:val="baseline"/>
          <w:lang w:val="en-US" w:eastAsia="zh-CN" w:bidi="ar"/>
        </w:rPr>
        <w:t>Compared with option 1, the new spherical coverage requirement framework need to determine the value of theta, phi and even the boresight direction. As the boresight direction may be related to the deployment scenario. For example, the boresight direction may be parallel to the rail in uni-directional deployment of scenario-A, while certain angle between the boresight direction and the rail may be more suitable for bi-directional deployment of scenario-B which is illustrated in figure 1.</w:t>
      </w:r>
    </w:p>
    <w:p>
      <w:pPr>
        <w:pStyle w:val="29"/>
        <w:ind w:firstLine="0" w:firstLineChars="0"/>
        <w:jc w:val="center"/>
        <w:rPr>
          <w:rFonts w:hint="eastAsia"/>
          <w:szCs w:val="20"/>
        </w:rPr>
      </w:pPr>
      <w:r>
        <w:rPr>
          <w:rFonts w:hint="eastAsia"/>
          <w:szCs w:val="20"/>
        </w:rPr>
        <w:drawing>
          <wp:inline distT="0" distB="0" distL="0" distR="0">
            <wp:extent cx="3392805" cy="1431290"/>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5"/>
                    <a:srcRect r="42529"/>
                    <a:stretch>
                      <a:fillRect/>
                    </a:stretch>
                  </pic:blipFill>
                  <pic:spPr>
                    <a:xfrm>
                      <a:off x="0" y="0"/>
                      <a:ext cx="3393367" cy="1431890"/>
                    </a:xfrm>
                    <a:prstGeom prst="rect">
                      <a:avLst/>
                    </a:prstGeom>
                    <a:noFill/>
                    <a:ln w="9525">
                      <a:noFill/>
                      <a:miter lim="800000"/>
                      <a:headEnd/>
                      <a:tailEnd/>
                    </a:ln>
                  </pic:spPr>
                </pic:pic>
              </a:graphicData>
            </a:graphic>
          </wp:inline>
        </w:drawing>
      </w:r>
    </w:p>
    <w:p>
      <w:pPr>
        <w:pStyle w:val="29"/>
        <w:ind w:firstLine="0" w:firstLineChars="0"/>
        <w:jc w:val="center"/>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Figure 1, illustration of bi-directional deployment scenario-B with more than one beam per CPE panel</w:t>
      </w:r>
    </w:p>
    <w:p>
      <w:pPr>
        <w:pStyle w:val="29"/>
        <w:ind w:firstLine="0" w:firstLineChars="0"/>
        <w:jc w:val="both"/>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For scenario-B the Dmin is 150m when CPE is near the RRH, the value of phi becomes larger. In order to ensure that phi does not deviate too much from the boresight, the boresight need to adjusted certain degree.</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 xml:space="preserve">Observation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If new spherical coverage requirement framework is considered, it may be necessary to determine different boresight for different scenario and deployment</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Observation 2</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If new spherical coverage requirement framework is considered, it may be necessary to determine different phi and theta for different scenario and deployment</w:t>
      </w:r>
      <w:r>
        <w:rPr>
          <w:rFonts w:ascii="Times New Roman" w:hAnsi="Times New Roman"/>
          <w:b/>
          <w:kern w:val="0"/>
          <w:sz w:val="20"/>
          <w:szCs w:val="20"/>
        </w:rPr>
        <w:t>.</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Compared with option 1, the new framework is deployment and scenario specific. The number of combination of different boresight, theta and phi should be considered for the new framework. The complexity of the definition for the new spherical coverage requirement framework needs to be considered.  </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consider the complexity </w:t>
      </w:r>
      <w:bookmarkStart w:id="2" w:name="_GoBack"/>
      <w:bookmarkEnd w:id="2"/>
      <w:r>
        <w:rPr>
          <w:rFonts w:hint="eastAsia" w:ascii="Times New Roman" w:hAnsi="Times New Roman"/>
          <w:b/>
          <w:kern w:val="0"/>
          <w:sz w:val="20"/>
          <w:szCs w:val="20"/>
          <w:lang w:val="en-US" w:eastAsia="zh-CN"/>
        </w:rPr>
        <w:t>of the new spherical coverage requirement framework</w:t>
      </w:r>
      <w:r>
        <w:rPr>
          <w:rFonts w:ascii="Times New Roman" w:hAnsi="Times New Roman"/>
          <w:b/>
          <w:kern w:val="0"/>
          <w:sz w:val="20"/>
          <w:szCs w:val="20"/>
        </w:rPr>
        <w:t>.</w:t>
      </w:r>
    </w:p>
    <w:p>
      <w:pPr>
        <w:rPr>
          <w:rFonts w:ascii="Times New Roman" w:hAnsi="Times New Roman"/>
          <w:b/>
          <w:kern w:val="0"/>
          <w:sz w:val="20"/>
          <w:szCs w:val="20"/>
        </w:rPr>
      </w:pPr>
      <w:r>
        <w:rPr>
          <w:rFonts w:ascii="Times New Roman" w:hAnsi="Times New Roman"/>
          <w:b/>
          <w:kern w:val="0"/>
          <w:sz w:val="20"/>
          <w:szCs w:val="20"/>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Cs w:val="20"/>
          <w:lang w:eastAsia="zh-CN"/>
        </w:rPr>
      </w:pPr>
      <w:r>
        <w:rPr>
          <w:rFonts w:hint="eastAsia" w:eastAsia="宋体"/>
          <w:bCs/>
          <w:szCs w:val="20"/>
          <w:lang w:eastAsia="zh-CN"/>
        </w:rPr>
        <w:t xml:space="preserve">In this contribution, we provide the following observations and proposals for </w:t>
      </w:r>
      <w:r>
        <w:rPr>
          <w:rFonts w:hint="eastAsia" w:eastAsia="宋体"/>
          <w:szCs w:val="20"/>
          <w:lang w:val="en-US" w:eastAsia="zh-CN"/>
        </w:rPr>
        <w:t>spherical coverage for HST_FR2</w:t>
      </w:r>
      <w:r>
        <w:rPr>
          <w:rFonts w:hint="eastAsia" w:eastAsia="宋体"/>
          <w:bCs/>
          <w:szCs w:val="20"/>
          <w:lang w:eastAsia="zh-CN"/>
        </w:rPr>
        <w:t>:</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 xml:space="preserve">Observation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If new spherical coverage requirement framework is considered, it may be necessary to determine different boresight for different scenario and deployment</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Observation 2</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If new spherical coverage requirement framework is considered, it may be necessary to determine different phi and theta for different scenario and deployment</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consider the complexity of the new spherical coverage requirement framework</w:t>
      </w:r>
      <w:r>
        <w:rPr>
          <w:rFonts w:ascii="Times New Roman" w:hAnsi="Times New Roman"/>
          <w:b/>
          <w:kern w:val="0"/>
          <w:sz w:val="20"/>
          <w:szCs w:val="20"/>
        </w:rPr>
        <w:t>.</w:t>
      </w:r>
    </w:p>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R4-2114976 WF on UE RF requirement for FR2 HST</w:t>
      </w:r>
    </w:p>
    <w:p>
      <w:pPr>
        <w:rPr>
          <w:szCs w:val="20"/>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F2A66E7"/>
    <w:multiLevelType w:val="multilevel"/>
    <w:tmpl w:val="3F2A66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1326"/>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3F97"/>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174"/>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161C"/>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0928F5"/>
    <w:rsid w:val="02626E3D"/>
    <w:rsid w:val="027035ED"/>
    <w:rsid w:val="02770E1A"/>
    <w:rsid w:val="0298367A"/>
    <w:rsid w:val="02D254EC"/>
    <w:rsid w:val="02F72239"/>
    <w:rsid w:val="02FE5F82"/>
    <w:rsid w:val="032D5AEE"/>
    <w:rsid w:val="03A05508"/>
    <w:rsid w:val="03AB67DC"/>
    <w:rsid w:val="03B52240"/>
    <w:rsid w:val="03C77456"/>
    <w:rsid w:val="043D2559"/>
    <w:rsid w:val="0478015E"/>
    <w:rsid w:val="0526729B"/>
    <w:rsid w:val="05510DD1"/>
    <w:rsid w:val="062A620F"/>
    <w:rsid w:val="064B00B0"/>
    <w:rsid w:val="06654A0B"/>
    <w:rsid w:val="06823D8F"/>
    <w:rsid w:val="07622262"/>
    <w:rsid w:val="07CD3CDD"/>
    <w:rsid w:val="0884066A"/>
    <w:rsid w:val="09240BB6"/>
    <w:rsid w:val="09294F7D"/>
    <w:rsid w:val="09674661"/>
    <w:rsid w:val="097E672F"/>
    <w:rsid w:val="09825F02"/>
    <w:rsid w:val="09AB6C45"/>
    <w:rsid w:val="09E20449"/>
    <w:rsid w:val="0A2802DC"/>
    <w:rsid w:val="0A731B50"/>
    <w:rsid w:val="0B802D0D"/>
    <w:rsid w:val="0BC176FB"/>
    <w:rsid w:val="0BC70982"/>
    <w:rsid w:val="0BF41031"/>
    <w:rsid w:val="0C953742"/>
    <w:rsid w:val="0CA242EA"/>
    <w:rsid w:val="0D613BA3"/>
    <w:rsid w:val="0D744565"/>
    <w:rsid w:val="0D7F564D"/>
    <w:rsid w:val="0D835665"/>
    <w:rsid w:val="0DE052FE"/>
    <w:rsid w:val="0E3330D0"/>
    <w:rsid w:val="0ECE66B5"/>
    <w:rsid w:val="0ED62F9C"/>
    <w:rsid w:val="0F11785B"/>
    <w:rsid w:val="0F372967"/>
    <w:rsid w:val="0F4B1309"/>
    <w:rsid w:val="0FDA7DDA"/>
    <w:rsid w:val="0FFA1150"/>
    <w:rsid w:val="1013275A"/>
    <w:rsid w:val="112D72C6"/>
    <w:rsid w:val="11A50508"/>
    <w:rsid w:val="120639A8"/>
    <w:rsid w:val="125D4125"/>
    <w:rsid w:val="12AE4121"/>
    <w:rsid w:val="13583391"/>
    <w:rsid w:val="137F4008"/>
    <w:rsid w:val="13F672DD"/>
    <w:rsid w:val="140C5848"/>
    <w:rsid w:val="141B497D"/>
    <w:rsid w:val="143E38B7"/>
    <w:rsid w:val="144E5CD4"/>
    <w:rsid w:val="15220493"/>
    <w:rsid w:val="158F210D"/>
    <w:rsid w:val="15E12A88"/>
    <w:rsid w:val="15E95672"/>
    <w:rsid w:val="16271D63"/>
    <w:rsid w:val="16BD2FB9"/>
    <w:rsid w:val="16D87C95"/>
    <w:rsid w:val="16E7731D"/>
    <w:rsid w:val="175E5C8C"/>
    <w:rsid w:val="179855D1"/>
    <w:rsid w:val="19607D81"/>
    <w:rsid w:val="199503FD"/>
    <w:rsid w:val="19AF5CF6"/>
    <w:rsid w:val="1A3F5603"/>
    <w:rsid w:val="1AA54D0B"/>
    <w:rsid w:val="1B870B5B"/>
    <w:rsid w:val="1BBC09F6"/>
    <w:rsid w:val="1C3672FA"/>
    <w:rsid w:val="1C3A751E"/>
    <w:rsid w:val="1C5D00DA"/>
    <w:rsid w:val="1C7D0C1A"/>
    <w:rsid w:val="1C7E2DD6"/>
    <w:rsid w:val="1CAD4CCB"/>
    <w:rsid w:val="1CCC40C9"/>
    <w:rsid w:val="1D186F9D"/>
    <w:rsid w:val="1D882A1C"/>
    <w:rsid w:val="1DA251E1"/>
    <w:rsid w:val="1DA93704"/>
    <w:rsid w:val="1F295D72"/>
    <w:rsid w:val="1F4325C8"/>
    <w:rsid w:val="1F595BBB"/>
    <w:rsid w:val="1F7C7957"/>
    <w:rsid w:val="1F7E1A3E"/>
    <w:rsid w:val="1FD21E35"/>
    <w:rsid w:val="1FD96681"/>
    <w:rsid w:val="1FE10390"/>
    <w:rsid w:val="1FEE7A9C"/>
    <w:rsid w:val="200E58BD"/>
    <w:rsid w:val="205164A7"/>
    <w:rsid w:val="2090238B"/>
    <w:rsid w:val="20B54C35"/>
    <w:rsid w:val="20BA6502"/>
    <w:rsid w:val="20E1398D"/>
    <w:rsid w:val="20EF3DF7"/>
    <w:rsid w:val="216D7544"/>
    <w:rsid w:val="21B80AA5"/>
    <w:rsid w:val="221703FC"/>
    <w:rsid w:val="225216B5"/>
    <w:rsid w:val="22B37446"/>
    <w:rsid w:val="22BE1DAD"/>
    <w:rsid w:val="235408E6"/>
    <w:rsid w:val="239838E3"/>
    <w:rsid w:val="23FD5BE3"/>
    <w:rsid w:val="24386853"/>
    <w:rsid w:val="24715F69"/>
    <w:rsid w:val="249F5850"/>
    <w:rsid w:val="24B140D4"/>
    <w:rsid w:val="24C569C9"/>
    <w:rsid w:val="24CD28B9"/>
    <w:rsid w:val="24F907DC"/>
    <w:rsid w:val="250D35C2"/>
    <w:rsid w:val="252A03F9"/>
    <w:rsid w:val="259B775B"/>
    <w:rsid w:val="25EF43C8"/>
    <w:rsid w:val="26131BE7"/>
    <w:rsid w:val="262E08BF"/>
    <w:rsid w:val="263951B2"/>
    <w:rsid w:val="263E55AD"/>
    <w:rsid w:val="264B37D3"/>
    <w:rsid w:val="26942B96"/>
    <w:rsid w:val="27930B1B"/>
    <w:rsid w:val="283146AB"/>
    <w:rsid w:val="288C6204"/>
    <w:rsid w:val="28A96A0F"/>
    <w:rsid w:val="28EE7A07"/>
    <w:rsid w:val="2953493D"/>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D46AFB"/>
    <w:rsid w:val="2CE15438"/>
    <w:rsid w:val="2D812190"/>
    <w:rsid w:val="2DA94150"/>
    <w:rsid w:val="2E1176AC"/>
    <w:rsid w:val="2E767E59"/>
    <w:rsid w:val="2ECB7AE0"/>
    <w:rsid w:val="2F0E5D72"/>
    <w:rsid w:val="2F235269"/>
    <w:rsid w:val="2F322289"/>
    <w:rsid w:val="2F4B1C2D"/>
    <w:rsid w:val="30571C73"/>
    <w:rsid w:val="30943D7F"/>
    <w:rsid w:val="309C7501"/>
    <w:rsid w:val="313A0372"/>
    <w:rsid w:val="3156248D"/>
    <w:rsid w:val="316C26E3"/>
    <w:rsid w:val="31B6217A"/>
    <w:rsid w:val="32305666"/>
    <w:rsid w:val="328D4D87"/>
    <w:rsid w:val="32EC2013"/>
    <w:rsid w:val="33021368"/>
    <w:rsid w:val="33133DBA"/>
    <w:rsid w:val="33491F36"/>
    <w:rsid w:val="33883009"/>
    <w:rsid w:val="346C2BDC"/>
    <w:rsid w:val="34E63221"/>
    <w:rsid w:val="34EA3595"/>
    <w:rsid w:val="34F31159"/>
    <w:rsid w:val="34F61BA3"/>
    <w:rsid w:val="35684E72"/>
    <w:rsid w:val="35D34EB8"/>
    <w:rsid w:val="361A0DD1"/>
    <w:rsid w:val="363A75C1"/>
    <w:rsid w:val="36950F43"/>
    <w:rsid w:val="36F13745"/>
    <w:rsid w:val="37235D83"/>
    <w:rsid w:val="386C1CFB"/>
    <w:rsid w:val="388C38C8"/>
    <w:rsid w:val="388E6306"/>
    <w:rsid w:val="3891144C"/>
    <w:rsid w:val="38E40513"/>
    <w:rsid w:val="39172AEA"/>
    <w:rsid w:val="393853EE"/>
    <w:rsid w:val="39474FFC"/>
    <w:rsid w:val="39A12E64"/>
    <w:rsid w:val="39E551C2"/>
    <w:rsid w:val="3A985F9F"/>
    <w:rsid w:val="3ACA79CB"/>
    <w:rsid w:val="3ACD696C"/>
    <w:rsid w:val="3AF01FB4"/>
    <w:rsid w:val="3B1A6BBF"/>
    <w:rsid w:val="3B1D04C9"/>
    <w:rsid w:val="3B564493"/>
    <w:rsid w:val="3B68666D"/>
    <w:rsid w:val="3B924465"/>
    <w:rsid w:val="3BA94452"/>
    <w:rsid w:val="3BC526E3"/>
    <w:rsid w:val="3BE64D6A"/>
    <w:rsid w:val="3C6C7288"/>
    <w:rsid w:val="3C8B2EA4"/>
    <w:rsid w:val="3CC85F33"/>
    <w:rsid w:val="3D2A699D"/>
    <w:rsid w:val="3D373F9F"/>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C765F3"/>
    <w:rsid w:val="41071BAC"/>
    <w:rsid w:val="41256FB7"/>
    <w:rsid w:val="4154071D"/>
    <w:rsid w:val="42C843A0"/>
    <w:rsid w:val="42F20CDD"/>
    <w:rsid w:val="43776349"/>
    <w:rsid w:val="43A46A86"/>
    <w:rsid w:val="43EE5166"/>
    <w:rsid w:val="44B2766E"/>
    <w:rsid w:val="44C82F04"/>
    <w:rsid w:val="453D01E5"/>
    <w:rsid w:val="45834801"/>
    <w:rsid w:val="458F4D24"/>
    <w:rsid w:val="459C5BD8"/>
    <w:rsid w:val="45B01F58"/>
    <w:rsid w:val="45ED56E7"/>
    <w:rsid w:val="45F60A50"/>
    <w:rsid w:val="465B1E86"/>
    <w:rsid w:val="46C6208F"/>
    <w:rsid w:val="482C6CD1"/>
    <w:rsid w:val="4853345A"/>
    <w:rsid w:val="48845C84"/>
    <w:rsid w:val="489C44D3"/>
    <w:rsid w:val="48F656AE"/>
    <w:rsid w:val="48F82FC3"/>
    <w:rsid w:val="490D3059"/>
    <w:rsid w:val="49500FEB"/>
    <w:rsid w:val="4982678C"/>
    <w:rsid w:val="49F32E1B"/>
    <w:rsid w:val="49FF1C1E"/>
    <w:rsid w:val="4A0B7057"/>
    <w:rsid w:val="4A280667"/>
    <w:rsid w:val="4A511B6E"/>
    <w:rsid w:val="4A7C4548"/>
    <w:rsid w:val="4B5B5B93"/>
    <w:rsid w:val="4B901389"/>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150A2D"/>
    <w:rsid w:val="504E5AC6"/>
    <w:rsid w:val="505076EF"/>
    <w:rsid w:val="505F3BD5"/>
    <w:rsid w:val="508A0B34"/>
    <w:rsid w:val="513C5648"/>
    <w:rsid w:val="51736098"/>
    <w:rsid w:val="51B14BED"/>
    <w:rsid w:val="51EE252C"/>
    <w:rsid w:val="51FA3D86"/>
    <w:rsid w:val="52022698"/>
    <w:rsid w:val="526965AA"/>
    <w:rsid w:val="531E2281"/>
    <w:rsid w:val="54175BE1"/>
    <w:rsid w:val="5445166E"/>
    <w:rsid w:val="54632332"/>
    <w:rsid w:val="54944CE7"/>
    <w:rsid w:val="55436523"/>
    <w:rsid w:val="55CA20E9"/>
    <w:rsid w:val="55ED23C7"/>
    <w:rsid w:val="56196A30"/>
    <w:rsid w:val="563C5184"/>
    <w:rsid w:val="565631F5"/>
    <w:rsid w:val="56C44CD3"/>
    <w:rsid w:val="581B09AF"/>
    <w:rsid w:val="582E227B"/>
    <w:rsid w:val="58983966"/>
    <w:rsid w:val="589E3B99"/>
    <w:rsid w:val="589F3533"/>
    <w:rsid w:val="593261D2"/>
    <w:rsid w:val="59423730"/>
    <w:rsid w:val="595A6E9E"/>
    <w:rsid w:val="5A7B3B9F"/>
    <w:rsid w:val="5A8F1C82"/>
    <w:rsid w:val="5AA04D8D"/>
    <w:rsid w:val="5AFF5DE6"/>
    <w:rsid w:val="5B4026E8"/>
    <w:rsid w:val="5B482E24"/>
    <w:rsid w:val="5C9A4DB7"/>
    <w:rsid w:val="5D1A39EE"/>
    <w:rsid w:val="5D5C7688"/>
    <w:rsid w:val="5E224225"/>
    <w:rsid w:val="5E2732CD"/>
    <w:rsid w:val="5E336F39"/>
    <w:rsid w:val="60205F90"/>
    <w:rsid w:val="608E2F6C"/>
    <w:rsid w:val="60EC3C37"/>
    <w:rsid w:val="61542874"/>
    <w:rsid w:val="61A058F7"/>
    <w:rsid w:val="62082A4E"/>
    <w:rsid w:val="623C28E2"/>
    <w:rsid w:val="62D53BF4"/>
    <w:rsid w:val="63483DC6"/>
    <w:rsid w:val="63610183"/>
    <w:rsid w:val="637947A5"/>
    <w:rsid w:val="63D0005D"/>
    <w:rsid w:val="64B7605C"/>
    <w:rsid w:val="652B096E"/>
    <w:rsid w:val="658B678B"/>
    <w:rsid w:val="65E73B66"/>
    <w:rsid w:val="66131984"/>
    <w:rsid w:val="66785612"/>
    <w:rsid w:val="66E16576"/>
    <w:rsid w:val="66E33C2D"/>
    <w:rsid w:val="67427945"/>
    <w:rsid w:val="68233C28"/>
    <w:rsid w:val="6906197A"/>
    <w:rsid w:val="69163AF6"/>
    <w:rsid w:val="69292BE7"/>
    <w:rsid w:val="692A17F3"/>
    <w:rsid w:val="69C27972"/>
    <w:rsid w:val="6A2E4954"/>
    <w:rsid w:val="6A6E396D"/>
    <w:rsid w:val="6A983C38"/>
    <w:rsid w:val="6AC9421D"/>
    <w:rsid w:val="6AD94F47"/>
    <w:rsid w:val="6C4C2667"/>
    <w:rsid w:val="6CDA49A3"/>
    <w:rsid w:val="6CF36133"/>
    <w:rsid w:val="6D044CB7"/>
    <w:rsid w:val="6D2C0194"/>
    <w:rsid w:val="6DD1076A"/>
    <w:rsid w:val="6DDE3DAF"/>
    <w:rsid w:val="6E1735DC"/>
    <w:rsid w:val="6E2211D6"/>
    <w:rsid w:val="6F1206C7"/>
    <w:rsid w:val="6FBA4BA1"/>
    <w:rsid w:val="70E13200"/>
    <w:rsid w:val="714420CD"/>
    <w:rsid w:val="715F4C2D"/>
    <w:rsid w:val="724530CF"/>
    <w:rsid w:val="727009A5"/>
    <w:rsid w:val="72CB7F46"/>
    <w:rsid w:val="73121CB7"/>
    <w:rsid w:val="73282EB7"/>
    <w:rsid w:val="745A66E9"/>
    <w:rsid w:val="745C121D"/>
    <w:rsid w:val="74BC3FA6"/>
    <w:rsid w:val="74FE041B"/>
    <w:rsid w:val="755C4C37"/>
    <w:rsid w:val="75E93B0F"/>
    <w:rsid w:val="761A2E8D"/>
    <w:rsid w:val="768D7CD7"/>
    <w:rsid w:val="774D1291"/>
    <w:rsid w:val="77647371"/>
    <w:rsid w:val="776C25E5"/>
    <w:rsid w:val="776C3E9D"/>
    <w:rsid w:val="77B7237F"/>
    <w:rsid w:val="78271104"/>
    <w:rsid w:val="784B7472"/>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223</Words>
  <Characters>1272</Characters>
  <Lines>10</Lines>
  <Paragraphs>2</Paragraphs>
  <TotalTime>1</TotalTime>
  <ScaleCrop>false</ScaleCrop>
  <LinksUpToDate>false</LinksUpToDate>
  <CharactersWithSpaces>1493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2021-10-22T13:46:52Z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